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E4" w:rsidRPr="00226A56" w:rsidRDefault="00A961E4" w:rsidP="00652E76">
      <w:pPr>
        <w:pStyle w:val="a4"/>
        <w:tabs>
          <w:tab w:val="left" w:pos="993"/>
        </w:tabs>
        <w:spacing w:line="360" w:lineRule="auto"/>
        <w:ind w:left="567" w:hanging="567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</w:t>
      </w:r>
      <w:r>
        <w:rPr>
          <w:b/>
          <w:i/>
          <w:u w:val="single"/>
        </w:rPr>
        <w:t>45</w:t>
      </w:r>
      <w:r w:rsidR="002C45FE">
        <w:rPr>
          <w:b/>
          <w:i/>
          <w:u w:val="single"/>
        </w:rPr>
        <w:t>а</w:t>
      </w:r>
      <w:r w:rsidRPr="00226A56">
        <w:rPr>
          <w:b/>
          <w:i/>
          <w:u w:val="single"/>
        </w:rPr>
        <w:t xml:space="preserve">, </w:t>
      </w:r>
      <w:r>
        <w:rPr>
          <w:b/>
          <w:i/>
          <w:u w:val="single"/>
        </w:rPr>
        <w:t>49</w:t>
      </w:r>
      <w:r w:rsidR="002C45FE">
        <w:rPr>
          <w:b/>
          <w:i/>
          <w:u w:val="single"/>
        </w:rPr>
        <w:t>а</w:t>
      </w:r>
    </w:p>
    <w:p w:rsidR="00A961E4" w:rsidRDefault="00A961E4" w:rsidP="00A961E4">
      <w:pPr>
        <w:pStyle w:val="a4"/>
        <w:spacing w:line="360" w:lineRule="auto"/>
        <w:jc w:val="center"/>
        <w:rPr>
          <w:b/>
        </w:rPr>
      </w:pPr>
    </w:p>
    <w:p w:rsidR="00A961E4" w:rsidRPr="00B66F07" w:rsidRDefault="00A961E4" w:rsidP="00A961E4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r>
        <w:rPr>
          <w:b/>
        </w:rPr>
        <w:t>горэлектросеть»</w:t>
      </w:r>
      <w:r w:rsidRPr="00B66F07">
        <w:rPr>
          <w:b/>
        </w:rPr>
        <w:t>»</w:t>
      </w:r>
    </w:p>
    <w:p w:rsidR="00A961E4" w:rsidRDefault="00A961E4" w:rsidP="00431C20">
      <w:pPr>
        <w:pStyle w:val="a4"/>
        <w:ind w:firstLine="539"/>
        <w:jc w:val="both"/>
        <w:rPr>
          <w:sz w:val="24"/>
        </w:rPr>
      </w:pPr>
      <w:r w:rsidRPr="0074029D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74029D">
          <w:rPr>
            <w:sz w:val="24"/>
          </w:rPr>
          <w:t>2004 г</w:t>
        </w:r>
      </w:smartTag>
      <w:r w:rsidRPr="0074029D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горэлектросеть» </w:t>
      </w:r>
      <w:r w:rsidR="00652E76">
        <w:rPr>
          <w:sz w:val="24"/>
        </w:rPr>
        <w:t>раскрывает следующую информацию</w:t>
      </w:r>
      <w:r w:rsidR="0003079D">
        <w:rPr>
          <w:sz w:val="24"/>
        </w:rPr>
        <w:t xml:space="preserve"> по пп а. п.45</w:t>
      </w:r>
      <w:r w:rsidR="00D243DE">
        <w:rPr>
          <w:sz w:val="24"/>
        </w:rPr>
        <w:t xml:space="preserve"> и </w:t>
      </w:r>
      <w:proofErr w:type="spellStart"/>
      <w:r w:rsidR="00D243DE">
        <w:rPr>
          <w:sz w:val="24"/>
        </w:rPr>
        <w:t>пп</w:t>
      </w:r>
      <w:proofErr w:type="spellEnd"/>
      <w:r w:rsidR="00D243DE">
        <w:rPr>
          <w:sz w:val="24"/>
        </w:rPr>
        <w:t>. а п.49</w:t>
      </w:r>
    </w:p>
    <w:p w:rsidR="00A961E4" w:rsidRPr="0074029D" w:rsidRDefault="00A961E4" w:rsidP="00431C20">
      <w:pPr>
        <w:pStyle w:val="a4"/>
        <w:ind w:firstLine="539"/>
        <w:jc w:val="both"/>
        <w:rPr>
          <w:sz w:val="24"/>
        </w:rPr>
      </w:pP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D243DE" w:rsidRDefault="00A961E4" w:rsidP="00D243DE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26282F"/>
        </w:rPr>
      </w:pPr>
      <w:r w:rsidRPr="00D243DE">
        <w:rPr>
          <w:b/>
        </w:rPr>
        <w:t>В соответствии с п.4 ст.23</w:t>
      </w:r>
      <w:r w:rsidR="00DA59EA">
        <w:rPr>
          <w:b/>
        </w:rPr>
        <w:t>.1</w:t>
      </w:r>
      <w:r w:rsidR="00DA59EA" w:rsidRPr="00DA59EA">
        <w:rPr>
          <w:b/>
        </w:rPr>
        <w:t xml:space="preserve"> </w:t>
      </w:r>
      <w:r w:rsidRPr="00D243DE">
        <w:rPr>
          <w:b/>
        </w:rPr>
        <w:t>Федерального закона № 35-ФЗ «Об электроэнергетике» цены (тариф</w:t>
      </w:r>
      <w:r w:rsidR="00652E76" w:rsidRPr="00D243DE">
        <w:rPr>
          <w:b/>
        </w:rPr>
        <w:t>ы) на электрическую энергию для п</w:t>
      </w:r>
      <w:r w:rsidRPr="00D243DE">
        <w:rPr>
          <w:b/>
        </w:rPr>
        <w:t>отребителей (кроме населения</w:t>
      </w:r>
      <w:r w:rsidR="00652E76" w:rsidRPr="00D243DE">
        <w:rPr>
          <w:b/>
        </w:rPr>
        <w:t xml:space="preserve"> и </w:t>
      </w:r>
      <w:r w:rsidR="00754835" w:rsidRPr="00D243DE">
        <w:rPr>
          <w:b/>
        </w:rPr>
        <w:t>приравненные к нему категории</w:t>
      </w:r>
      <w:r w:rsidR="00652E76" w:rsidRPr="00D243DE">
        <w:rPr>
          <w:b/>
        </w:rPr>
        <w:t xml:space="preserve"> потребителей</w:t>
      </w:r>
      <w:r w:rsidRPr="00D243DE">
        <w:rPr>
          <w:b/>
        </w:rPr>
        <w:t>) не подлежат государственному регулированию</w:t>
      </w:r>
    </w:p>
    <w:p w:rsidR="00A961E4" w:rsidRPr="0074029D" w:rsidRDefault="00A961E4" w:rsidP="00431C20">
      <w:pPr>
        <w:jc w:val="both"/>
      </w:pP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74029D">
        <w:rPr>
          <w:u w:val="single"/>
        </w:rPr>
        <w:t>Стоимость электрической энергии с 01.</w:t>
      </w:r>
      <w:r w:rsidR="002C45FE">
        <w:rPr>
          <w:u w:val="single"/>
        </w:rPr>
        <w:t>01</w:t>
      </w:r>
      <w:r w:rsidRPr="0074029D">
        <w:rPr>
          <w:u w:val="single"/>
        </w:rPr>
        <w:t>.20</w:t>
      </w:r>
      <w:r w:rsidR="00AE07FA">
        <w:rPr>
          <w:u w:val="single"/>
        </w:rPr>
        <w:t>2</w:t>
      </w:r>
      <w:r w:rsidR="002C45FE">
        <w:rPr>
          <w:u w:val="single"/>
        </w:rPr>
        <w:t>4</w:t>
      </w:r>
      <w:r w:rsidRPr="0074029D">
        <w:rPr>
          <w:u w:val="single"/>
        </w:rPr>
        <w:t xml:space="preserve"> г. будет складываться из следующих слагаемых:</w:t>
      </w: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1. Средневзвешенной стоимости электрической энергии и мощности, приобретенной на ОРЭМ;</w:t>
      </w: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2. Цены (тариф</w:t>
      </w:r>
      <w:r w:rsidR="00652E76">
        <w:t>а</w:t>
      </w:r>
      <w:r w:rsidRPr="0074029D">
        <w:t xml:space="preserve">) на инфраструктурные услуги, установленные </w:t>
      </w:r>
      <w:r>
        <w:t>ФАС России</w:t>
      </w:r>
      <w:r w:rsidRPr="0074029D">
        <w:t>;</w:t>
      </w: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3. Цены (тарифа) на услуги по передаче электрической энергии, установленной регулирующим органом субъекта;</w:t>
      </w: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4. Сбытовой надбавки гарантирующего поставщика, установленной регулирующим органом субъекта.</w:t>
      </w: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 xml:space="preserve">1. Средневзвешенная стоимость электрической энергии и мощности, приобретенной на ОРЭМ (публикуется на официальных сайтах </w:t>
      </w:r>
      <w:hyperlink r:id="rId5" w:history="1">
        <w:r w:rsidRPr="0074029D">
          <w:rPr>
            <w:rStyle w:val="a3"/>
            <w:color w:val="0070C0"/>
          </w:rPr>
          <w:t>www.atsenergo.ru</w:t>
        </w:r>
      </w:hyperlink>
      <w:r w:rsidRPr="0074029D">
        <w:t xml:space="preserve"> и </w:t>
      </w:r>
      <w:hyperlink r:id="rId6" w:history="1">
        <w:r w:rsidRPr="0074029D">
          <w:rPr>
            <w:rStyle w:val="a3"/>
            <w:color w:val="0070C0"/>
            <w:lang w:val="en-US"/>
          </w:rPr>
          <w:t>www</w:t>
        </w:r>
        <w:r w:rsidRPr="0074029D">
          <w:rPr>
            <w:rStyle w:val="a3"/>
            <w:color w:val="0070C0"/>
          </w:rPr>
          <w:t>.</w:t>
        </w:r>
        <w:r w:rsidRPr="0074029D">
          <w:rPr>
            <w:rStyle w:val="a3"/>
            <w:color w:val="0070C0"/>
            <w:lang w:val="en-US"/>
          </w:rPr>
          <w:t>bges</w:t>
        </w:r>
        <w:r w:rsidRPr="0074029D">
          <w:rPr>
            <w:rStyle w:val="a3"/>
            <w:color w:val="0070C0"/>
          </w:rPr>
          <w:t>.</w:t>
        </w:r>
        <w:r w:rsidRPr="0074029D">
          <w:rPr>
            <w:rStyle w:val="a3"/>
            <w:color w:val="0070C0"/>
            <w:lang w:val="en-US"/>
          </w:rPr>
          <w:t>ru</w:t>
        </w:r>
      </w:hyperlink>
      <w:r w:rsidRPr="0074029D">
        <w:rPr>
          <w:u w:val="single"/>
        </w:rPr>
        <w:t>)</w:t>
      </w:r>
      <w:r w:rsidRPr="0074029D">
        <w:t>;</w:t>
      </w:r>
    </w:p>
    <w:p w:rsidR="00A961E4" w:rsidRPr="0074029D" w:rsidRDefault="00A961E4" w:rsidP="00431C20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74029D" w:rsidRDefault="00A961E4" w:rsidP="00431C20">
      <w:pPr>
        <w:jc w:val="both"/>
        <w:rPr>
          <w:color w:val="0070C0"/>
        </w:rPr>
      </w:pPr>
      <w:r w:rsidRPr="0074029D">
        <w:t xml:space="preserve">        2. Тарифы на инфраструктурные услуги размещены на официальном сайте Федеральной антимонопольной службы Российской Федерации </w:t>
      </w:r>
      <w:hyperlink r:id="rId7" w:history="1">
        <w:r w:rsidRPr="0074029D">
          <w:rPr>
            <w:rStyle w:val="a3"/>
            <w:lang w:val="en-US"/>
          </w:rPr>
          <w:t>www</w:t>
        </w:r>
        <w:r w:rsidRPr="0074029D">
          <w:rPr>
            <w:rStyle w:val="a3"/>
          </w:rPr>
          <w:t>.</w:t>
        </w:r>
        <w:r w:rsidRPr="0074029D">
          <w:rPr>
            <w:rStyle w:val="a3"/>
            <w:lang w:val="en-US"/>
          </w:rPr>
          <w:t>fas</w:t>
        </w:r>
        <w:r w:rsidRPr="0074029D">
          <w:rPr>
            <w:rStyle w:val="a3"/>
          </w:rPr>
          <w:t>.gov.</w:t>
        </w:r>
        <w:r w:rsidRPr="0074029D">
          <w:rPr>
            <w:rStyle w:val="a3"/>
            <w:lang w:val="en-US"/>
          </w:rPr>
          <w:t>ru</w:t>
        </w:r>
      </w:hyperlink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431C20" w:rsidRPr="00431C20" w:rsidRDefault="00A961E4" w:rsidP="00431C20">
      <w:pPr>
        <w:autoSpaceDE w:val="0"/>
        <w:autoSpaceDN w:val="0"/>
        <w:adjustRightInd w:val="0"/>
        <w:jc w:val="both"/>
      </w:pPr>
      <w:r w:rsidRPr="0074029D">
        <w:t xml:space="preserve">        3. </w:t>
      </w:r>
      <w:r w:rsidR="002C45FE">
        <w:t xml:space="preserve"> Единые (котловые) тарифы </w:t>
      </w:r>
      <w:r w:rsidRPr="0074029D">
        <w:t>на услуги по передаче электрической энергии</w:t>
      </w:r>
      <w:r w:rsidR="002C45FE">
        <w:t>, поставляемой потребителям</w:t>
      </w:r>
      <w:r w:rsidR="00431C20">
        <w:t>, не относящимся к населению и приравненным к нему категориям потребителей на 2024 год</w:t>
      </w:r>
      <w:r w:rsidRPr="0074029D">
        <w:t xml:space="preserve">, </w:t>
      </w:r>
      <w:r w:rsidR="00431C20">
        <w:t>утверждены</w:t>
      </w:r>
      <w:r>
        <w:t xml:space="preserve"> </w:t>
      </w:r>
      <w:r w:rsidR="00431C20">
        <w:rPr>
          <w:color w:val="000000" w:themeColor="text1"/>
        </w:rPr>
        <w:t>р</w:t>
      </w:r>
      <w:r w:rsidRPr="00AD0845">
        <w:rPr>
          <w:color w:val="000000" w:themeColor="text1"/>
        </w:rPr>
        <w:t>ешением</w:t>
      </w:r>
      <w:r w:rsidR="00064889" w:rsidRPr="00AD0845">
        <w:rPr>
          <w:color w:val="000000" w:themeColor="text1"/>
        </w:rPr>
        <w:t xml:space="preserve"> </w:t>
      </w:r>
      <w:r w:rsidR="00C5242F" w:rsidRPr="00C5242F">
        <w:rPr>
          <w:color w:val="000000" w:themeColor="text1"/>
        </w:rPr>
        <w:t xml:space="preserve">управления Алтайского края по государственному регулированию цен и тарифов № </w:t>
      </w:r>
      <w:r w:rsidR="002C45FE">
        <w:rPr>
          <w:color w:val="000000" w:themeColor="text1"/>
        </w:rPr>
        <w:t xml:space="preserve">285 </w:t>
      </w:r>
      <w:r w:rsidR="00C5242F" w:rsidRPr="00C5242F">
        <w:rPr>
          <w:color w:val="000000" w:themeColor="text1"/>
        </w:rPr>
        <w:t xml:space="preserve">от </w:t>
      </w:r>
      <w:r w:rsidR="002C45FE">
        <w:rPr>
          <w:color w:val="000000" w:themeColor="text1"/>
        </w:rPr>
        <w:t>30</w:t>
      </w:r>
      <w:r w:rsidR="00C5242F" w:rsidRPr="00C5242F">
        <w:rPr>
          <w:color w:val="000000" w:themeColor="text1"/>
        </w:rPr>
        <w:t>.11.202</w:t>
      </w:r>
      <w:r w:rsidR="002C45FE">
        <w:rPr>
          <w:color w:val="000000" w:themeColor="text1"/>
        </w:rPr>
        <w:t>3</w:t>
      </w:r>
      <w:r w:rsidR="00C5242F" w:rsidRPr="00C5242F">
        <w:rPr>
          <w:color w:val="000000" w:themeColor="text1"/>
        </w:rPr>
        <w:t xml:space="preserve"> года «</w:t>
      </w:r>
      <w:r w:rsidR="00431C20" w:rsidRPr="00431C20">
        <w:t>О внесении изменений в решение управления Алтайского края по государственному регулированию цен и тарифов от 27.12.2019 № 589</w:t>
      </w:r>
      <w:r w:rsidR="00C5242F" w:rsidRPr="00431C20">
        <w:t>»</w:t>
      </w:r>
      <w:r w:rsidR="00DA59EA">
        <w:t xml:space="preserve"> (опубликованы на официальном сайте правовых актов </w:t>
      </w:r>
      <w:hyperlink r:id="rId8" w:history="1">
        <w:r w:rsidR="00DA59EA" w:rsidRPr="005809B8">
          <w:rPr>
            <w:rStyle w:val="a3"/>
          </w:rPr>
          <w:t>http://publication.pravo.gov.ru/</w:t>
        </w:r>
      </w:hyperlink>
      <w:r w:rsidR="00DA59EA">
        <w:t xml:space="preserve"> ).</w:t>
      </w:r>
    </w:p>
    <w:p w:rsidR="000A41F7" w:rsidRPr="00431C20" w:rsidRDefault="000A41F7" w:rsidP="00A961E4">
      <w:pPr>
        <w:ind w:firstLine="698"/>
        <w:jc w:val="center"/>
      </w:pPr>
    </w:p>
    <w:p w:rsidR="00431C20" w:rsidRDefault="00431C20" w:rsidP="00A961E4">
      <w:pPr>
        <w:ind w:firstLine="698"/>
        <w:jc w:val="center"/>
        <w:rPr>
          <w:rStyle w:val="a7"/>
          <w:b w:val="0"/>
          <w:bCs/>
          <w:highlight w:val="yellow"/>
        </w:rPr>
      </w:pPr>
    </w:p>
    <w:p w:rsidR="00431C20" w:rsidRDefault="00431C20" w:rsidP="00A961E4">
      <w:pPr>
        <w:ind w:firstLine="698"/>
        <w:jc w:val="center"/>
        <w:rPr>
          <w:rStyle w:val="a7"/>
          <w:b w:val="0"/>
          <w:bCs/>
          <w:highlight w:val="yellow"/>
        </w:rPr>
      </w:pPr>
    </w:p>
    <w:p w:rsidR="00431C20" w:rsidRDefault="00431C20" w:rsidP="00A961E4">
      <w:pPr>
        <w:ind w:firstLine="698"/>
        <w:jc w:val="center"/>
        <w:rPr>
          <w:rStyle w:val="a7"/>
          <w:b w:val="0"/>
          <w:bCs/>
          <w:highlight w:val="yellow"/>
        </w:rPr>
      </w:pPr>
    </w:p>
    <w:p w:rsidR="00431C20" w:rsidRDefault="00431C20" w:rsidP="00A961E4">
      <w:pPr>
        <w:ind w:firstLine="698"/>
        <w:jc w:val="center"/>
        <w:rPr>
          <w:rStyle w:val="a7"/>
          <w:b w:val="0"/>
          <w:bCs/>
          <w:highlight w:val="yellow"/>
        </w:rPr>
      </w:pPr>
    </w:p>
    <w:p w:rsidR="00431C20" w:rsidRDefault="00431C20" w:rsidP="00A961E4">
      <w:pPr>
        <w:ind w:firstLine="698"/>
        <w:jc w:val="center"/>
        <w:rPr>
          <w:rStyle w:val="a7"/>
          <w:b w:val="0"/>
          <w:bCs/>
          <w:highlight w:val="yellow"/>
        </w:rPr>
      </w:pPr>
    </w:p>
    <w:p w:rsidR="00431C20" w:rsidRDefault="00431C20" w:rsidP="00A961E4">
      <w:pPr>
        <w:ind w:firstLine="698"/>
        <w:jc w:val="center"/>
        <w:rPr>
          <w:rStyle w:val="a7"/>
          <w:b w:val="0"/>
          <w:bCs/>
          <w:highlight w:val="yellow"/>
        </w:rPr>
      </w:pPr>
    </w:p>
    <w:p w:rsidR="00431C20" w:rsidRDefault="00431C20" w:rsidP="00A961E4">
      <w:pPr>
        <w:ind w:firstLine="698"/>
        <w:jc w:val="center"/>
        <w:rPr>
          <w:rStyle w:val="a7"/>
          <w:b w:val="0"/>
          <w:bCs/>
          <w:highlight w:val="yellow"/>
        </w:rPr>
      </w:pPr>
    </w:p>
    <w:p w:rsidR="00431C20" w:rsidRDefault="00431C20" w:rsidP="00A961E4">
      <w:pPr>
        <w:ind w:firstLine="698"/>
        <w:jc w:val="center"/>
        <w:rPr>
          <w:rStyle w:val="a7"/>
          <w:b w:val="0"/>
          <w:bCs/>
          <w:highlight w:val="yellow"/>
        </w:rPr>
      </w:pPr>
    </w:p>
    <w:p w:rsidR="000A41F7" w:rsidRDefault="000A41F7" w:rsidP="000A41F7">
      <w:pPr>
        <w:pStyle w:val="1"/>
        <w:spacing w:before="0" w:after="0"/>
        <w:rPr>
          <w:rFonts w:ascii="PT Astra Serif" w:hAnsi="PT Astra Serif" w:cs="Times New Roman"/>
          <w:b w:val="0"/>
          <w:color w:val="auto"/>
          <w:sz w:val="27"/>
          <w:szCs w:val="27"/>
        </w:rPr>
      </w:pPr>
      <w:r>
        <w:rPr>
          <w:rFonts w:ascii="PT Astra Serif" w:hAnsi="PT Astra Serif" w:cs="Times New Roman"/>
          <w:b w:val="0"/>
          <w:color w:val="auto"/>
          <w:sz w:val="27"/>
          <w:szCs w:val="27"/>
        </w:rPr>
        <w:t>Единые (котловые) тарифы на услуги по передаче электрической энергии по сетям Алтайского края, поставляемой потребителям, не относящимся к населению и приравненным к нему категориям потребителей, на 2024 год</w:t>
      </w:r>
    </w:p>
    <w:p w:rsidR="000A41F7" w:rsidRDefault="000A41F7" w:rsidP="000A41F7">
      <w:pPr>
        <w:tabs>
          <w:tab w:val="left" w:pos="1276"/>
        </w:tabs>
        <w:jc w:val="center"/>
        <w:rPr>
          <w:rFonts w:ascii="PT Astra Serif" w:hAnsi="PT Astra Serif"/>
          <w:sz w:val="27"/>
          <w:szCs w:val="27"/>
        </w:rPr>
      </w:pPr>
    </w:p>
    <w:tbl>
      <w:tblPr>
        <w:tblW w:w="152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5"/>
        <w:gridCol w:w="1744"/>
        <w:gridCol w:w="1049"/>
        <w:gridCol w:w="795"/>
        <w:gridCol w:w="709"/>
        <w:gridCol w:w="1134"/>
        <w:gridCol w:w="1026"/>
        <w:gridCol w:w="1161"/>
        <w:gridCol w:w="1161"/>
        <w:gridCol w:w="16"/>
        <w:gridCol w:w="693"/>
        <w:gridCol w:w="561"/>
        <w:gridCol w:w="1026"/>
        <w:gridCol w:w="1161"/>
        <w:gridCol w:w="1161"/>
        <w:gridCol w:w="1161"/>
        <w:gridCol w:w="16"/>
      </w:tblGrid>
      <w:tr w:rsidR="000A41F7" w:rsidRPr="000A41F7" w:rsidTr="00431C20">
        <w:trPr>
          <w:trHeight w:val="177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1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Диапазоны напряжения</w:t>
            </w:r>
          </w:p>
        </w:tc>
      </w:tr>
      <w:tr w:rsidR="000A41F7" w:rsidRPr="000A41F7" w:rsidTr="00431C20">
        <w:trPr>
          <w:gridAfter w:val="1"/>
          <w:wAfter w:w="16" w:type="dxa"/>
          <w:trHeight w:val="51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измере-ния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ВН-I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CH-I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CH-II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ВН-I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CH-I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CH-II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НН</w:t>
            </w:r>
          </w:p>
        </w:tc>
      </w:tr>
      <w:tr w:rsidR="000A41F7" w:rsidRPr="000A41F7" w:rsidTr="00431C20">
        <w:trPr>
          <w:gridAfter w:val="1"/>
          <w:wAfter w:w="16" w:type="dxa"/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</w:tr>
      <w:tr w:rsidR="000A41F7" w:rsidRPr="000A41F7" w:rsidTr="00431C20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I полугодие</w:t>
            </w:r>
          </w:p>
        </w:tc>
        <w:tc>
          <w:tcPr>
            <w:tcW w:w="5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II полугодие</w:t>
            </w:r>
          </w:p>
        </w:tc>
      </w:tr>
      <w:tr w:rsidR="000A41F7" w:rsidRPr="000A41F7" w:rsidTr="00431C20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0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0A41F7" w:rsidRPr="000A41F7" w:rsidTr="00431C20">
        <w:trPr>
          <w:gridAfter w:val="1"/>
          <w:wAfter w:w="16" w:type="dxa"/>
          <w:trHeight w:val="1470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руб./ МВт*мес.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F467D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632 933,84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914 891,87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1 109 842,04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1 462 094,01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Х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690 655,80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1 043 426,80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1 296 936,13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1 735 851,17</w:t>
            </w:r>
          </w:p>
        </w:tc>
      </w:tr>
      <w:tr w:rsidR="000A41F7" w:rsidRPr="000A41F7" w:rsidTr="00431C20">
        <w:trPr>
          <w:gridAfter w:val="1"/>
          <w:wAfter w:w="16" w:type="dxa"/>
          <w:trHeight w:val="300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A41F7" w:rsidRPr="000A41F7" w:rsidTr="00431C20">
        <w:trPr>
          <w:gridAfter w:val="1"/>
          <w:wAfter w:w="16" w:type="dxa"/>
          <w:trHeight w:val="1980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руб./ МВт*ч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236,92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385,18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785,95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104,97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270,33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439,49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896,77</w:t>
            </w:r>
          </w:p>
        </w:tc>
      </w:tr>
      <w:tr w:rsidR="000A41F7" w:rsidRPr="000A41F7" w:rsidTr="00431C20">
        <w:trPr>
          <w:gridAfter w:val="1"/>
          <w:wAfter w:w="16" w:type="dxa"/>
          <w:trHeight w:val="300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A41F7" w:rsidRPr="000A41F7" w:rsidTr="00431C20">
        <w:trPr>
          <w:gridAfter w:val="1"/>
          <w:wAfter w:w="16" w:type="dxa"/>
          <w:trHeight w:val="450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41F7">
              <w:rPr>
                <w:rFonts w:ascii="PT Astra Serif" w:hAnsi="PT Astra Serif"/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руб./кВт*ч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1,11714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1,9501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2,25147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3,4913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1,27466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2,22506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2,56893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3,98357</w:t>
            </w:r>
          </w:p>
        </w:tc>
      </w:tr>
      <w:tr w:rsidR="000A41F7" w:rsidRPr="000A41F7" w:rsidTr="00431C20">
        <w:trPr>
          <w:gridAfter w:val="1"/>
          <w:wAfter w:w="16" w:type="dxa"/>
          <w:trHeight w:val="300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F7" w:rsidRPr="000A41F7" w:rsidRDefault="000A41F7" w:rsidP="000A41F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A41F7"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F7" w:rsidRPr="000A41F7" w:rsidRDefault="000A41F7" w:rsidP="000A41F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0A41F7" w:rsidRPr="00F336E5" w:rsidRDefault="000A41F7" w:rsidP="00A961E4">
      <w:pPr>
        <w:ind w:firstLine="698"/>
        <w:jc w:val="center"/>
        <w:rPr>
          <w:rStyle w:val="a7"/>
          <w:b w:val="0"/>
          <w:bCs/>
          <w:highlight w:val="yellow"/>
        </w:rPr>
        <w:sectPr w:rsidR="000A41F7" w:rsidRPr="00F336E5" w:rsidSect="00E96A66">
          <w:pgSz w:w="16837" w:h="11905" w:orient="landscape"/>
          <w:pgMar w:top="426" w:right="819" w:bottom="851" w:left="1134" w:header="454" w:footer="737" w:gutter="0"/>
          <w:cols w:space="720"/>
          <w:noEndnote/>
          <w:docGrid w:linePitch="326"/>
        </w:sectPr>
      </w:pPr>
    </w:p>
    <w:p w:rsidR="00431C20" w:rsidRDefault="00431C20" w:rsidP="00431C20">
      <w:pPr>
        <w:widowControl w:val="0"/>
        <w:autoSpaceDE w:val="0"/>
        <w:autoSpaceDN w:val="0"/>
        <w:adjustRightInd w:val="0"/>
        <w:ind w:firstLine="709"/>
        <w:jc w:val="both"/>
      </w:pPr>
    </w:p>
    <w:p w:rsidR="00A961E4" w:rsidRDefault="00A961E4" w:rsidP="00D243DE">
      <w:pPr>
        <w:ind w:firstLine="567"/>
        <w:jc w:val="both"/>
      </w:pPr>
      <w:r w:rsidRPr="00D243DE">
        <w:t xml:space="preserve">      </w:t>
      </w:r>
      <w:r w:rsidR="00D243DE" w:rsidRPr="00D243DE">
        <w:t xml:space="preserve">4. </w:t>
      </w:r>
      <w:r w:rsidR="00D243DE">
        <w:t xml:space="preserve">Сбытовая надбавка гарантирующего поставщика </w:t>
      </w:r>
      <w:r w:rsidR="00D243DE" w:rsidRPr="0074029D">
        <w:t>АО</w:t>
      </w:r>
      <w:r w:rsidR="00D243DE">
        <w:t> </w:t>
      </w:r>
      <w:r w:rsidR="00D243DE" w:rsidRPr="0074029D">
        <w:t xml:space="preserve">«Барнаульская </w:t>
      </w:r>
      <w:proofErr w:type="spellStart"/>
      <w:r w:rsidR="00D243DE" w:rsidRPr="0074029D">
        <w:t>горэлектросеть</w:t>
      </w:r>
      <w:proofErr w:type="spellEnd"/>
      <w:r w:rsidR="00D243DE" w:rsidRPr="0074029D">
        <w:t>» на 20</w:t>
      </w:r>
      <w:r w:rsidR="00D243DE" w:rsidRPr="00A961E4">
        <w:t>2</w:t>
      </w:r>
      <w:r w:rsidR="00D243DE">
        <w:t>4 год утверждена р</w:t>
      </w:r>
      <w:r>
        <w:t xml:space="preserve">ешением </w:t>
      </w:r>
      <w:r w:rsidRPr="0074029D">
        <w:t xml:space="preserve">Управления Алтайского края по государственному регулированию цен и тарифов </w:t>
      </w:r>
      <w:r w:rsidR="00D243DE">
        <w:t>№ 281 от 30</w:t>
      </w:r>
      <w:r w:rsidR="00D243DE" w:rsidRPr="0074029D">
        <w:t>.1</w:t>
      </w:r>
      <w:r w:rsidR="00D243DE">
        <w:t>1</w:t>
      </w:r>
      <w:r w:rsidR="00D243DE" w:rsidRPr="0074029D">
        <w:t>.20</w:t>
      </w:r>
      <w:r w:rsidR="00D243DE">
        <w:t>23</w:t>
      </w:r>
      <w:r w:rsidR="00D243DE" w:rsidRPr="0074029D">
        <w:t xml:space="preserve"> </w:t>
      </w:r>
      <w:r w:rsidRPr="0074029D">
        <w:t>год в размере (</w:t>
      </w:r>
      <w:r>
        <w:t>тарифы указаны без НДС</w:t>
      </w:r>
      <w:r w:rsidR="00513792">
        <w:t>, вступает в силу с 01.</w:t>
      </w:r>
      <w:r w:rsidR="00E96A66">
        <w:t>01</w:t>
      </w:r>
      <w:r w:rsidR="00513792">
        <w:t>.202</w:t>
      </w:r>
      <w:r w:rsidR="00E96A66">
        <w:t>4</w:t>
      </w:r>
      <w:r w:rsidR="00513792">
        <w:t xml:space="preserve"> г.</w:t>
      </w:r>
      <w:r>
        <w:t>)</w:t>
      </w:r>
      <w:r w:rsidR="00DA59EA">
        <w:t xml:space="preserve"> (опубликованы на официальном сайте правовых актов </w:t>
      </w:r>
      <w:hyperlink r:id="rId9" w:history="1">
        <w:r w:rsidR="00DA59EA" w:rsidRPr="005809B8">
          <w:rPr>
            <w:rStyle w:val="a3"/>
          </w:rPr>
          <w:t>http://publication.pravo.gov.ru/</w:t>
        </w:r>
      </w:hyperlink>
      <w:r w:rsidR="00DA59EA">
        <w:t xml:space="preserve"> )</w:t>
      </w:r>
      <w:r w:rsidRPr="0074029D">
        <w:t>:</w:t>
      </w:r>
    </w:p>
    <w:p w:rsidR="00AC0B4F" w:rsidRDefault="00AC0B4F" w:rsidP="00A961E4">
      <w:pPr>
        <w:jc w:val="right"/>
        <w:rPr>
          <w:szCs w:val="28"/>
        </w:rPr>
      </w:pPr>
    </w:p>
    <w:p w:rsidR="00A961E4" w:rsidRPr="000C4277" w:rsidRDefault="00A961E4" w:rsidP="00A961E4">
      <w:pPr>
        <w:jc w:val="right"/>
        <w:rPr>
          <w:szCs w:val="28"/>
        </w:rPr>
      </w:pPr>
      <w:r>
        <w:rPr>
          <w:szCs w:val="28"/>
        </w:rPr>
        <w:t>руб./</w:t>
      </w:r>
      <w:r w:rsidRPr="00956560">
        <w:rPr>
          <w:szCs w:val="28"/>
        </w:rPr>
        <w:t>кВт</w:t>
      </w:r>
      <w:r w:rsidRPr="00956560">
        <w:rPr>
          <w:rFonts w:ascii="Cambria Math" w:hAnsi="Cambria Math" w:cs="Cambria Math"/>
          <w:szCs w:val="28"/>
        </w:rPr>
        <w:t>⋅</w:t>
      </w:r>
      <w:r w:rsidRPr="00956560">
        <w:rPr>
          <w:szCs w:val="28"/>
        </w:rPr>
        <w:t>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"/>
        <w:gridCol w:w="2484"/>
        <w:gridCol w:w="2408"/>
        <w:gridCol w:w="2268"/>
        <w:gridCol w:w="2268"/>
        <w:gridCol w:w="2409"/>
        <w:gridCol w:w="2237"/>
      </w:tblGrid>
      <w:tr w:rsidR="00A961E4" w:rsidRPr="00D0101B" w:rsidTr="00A961E4">
        <w:tc>
          <w:tcPr>
            <w:tcW w:w="486" w:type="dxa"/>
            <w:vMerge w:val="restart"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№ п/п</w:t>
            </w:r>
          </w:p>
        </w:tc>
        <w:tc>
          <w:tcPr>
            <w:tcW w:w="2484" w:type="dxa"/>
            <w:vMerge w:val="restart"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11590" w:type="dxa"/>
            <w:gridSpan w:val="5"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Сбытовая надбавка</w:t>
            </w:r>
          </w:p>
        </w:tc>
      </w:tr>
      <w:tr w:rsidR="005437EC" w:rsidRPr="00D0101B" w:rsidTr="00A961E4">
        <w:trPr>
          <w:trHeight w:val="2693"/>
        </w:trPr>
        <w:tc>
          <w:tcPr>
            <w:tcW w:w="486" w:type="dxa"/>
            <w:vMerge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  <w:vMerge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тарифная группа потребителей «население» и приравненные к нему категории потребителей</w:t>
            </w:r>
          </w:p>
        </w:tc>
        <w:tc>
          <w:tcPr>
            <w:tcW w:w="2268" w:type="dxa"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тарифная группа потребителей «сетевые организации, покупающие электрическую энергию для компенсации потерь</w:t>
            </w:r>
          </w:p>
        </w:tc>
        <w:tc>
          <w:tcPr>
            <w:tcW w:w="2268" w:type="dxa"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- по подгруппе в зависимости от величины максимальной мощности принадлежащих им энергопринимающих устройств менее 670 кВт</w:t>
            </w:r>
          </w:p>
        </w:tc>
        <w:tc>
          <w:tcPr>
            <w:tcW w:w="2409" w:type="dxa"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- по подгруппе в зависимости от величины максимальной мощности принадлежащих им энергопринимающих устройств от 670 кВт до 10 МВт</w:t>
            </w:r>
          </w:p>
        </w:tc>
        <w:tc>
          <w:tcPr>
            <w:tcW w:w="2237" w:type="dxa"/>
            <w:vAlign w:val="center"/>
          </w:tcPr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- по подгруппе в зависимости от величины максимальной мощности принадлежащих им энергопринимающих устройств не менее 10 МВт</w:t>
            </w:r>
          </w:p>
        </w:tc>
      </w:tr>
      <w:tr w:rsidR="00513792" w:rsidRPr="00D0101B" w:rsidTr="00431C20">
        <w:tc>
          <w:tcPr>
            <w:tcW w:w="486" w:type="dxa"/>
            <w:vAlign w:val="center"/>
          </w:tcPr>
          <w:p w:rsidR="00513792" w:rsidRPr="00D0101B" w:rsidRDefault="00513792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</w:t>
            </w:r>
          </w:p>
        </w:tc>
        <w:tc>
          <w:tcPr>
            <w:tcW w:w="2484" w:type="dxa"/>
            <w:vAlign w:val="center"/>
          </w:tcPr>
          <w:p w:rsidR="00513792" w:rsidRPr="00D0101B" w:rsidRDefault="00513792" w:rsidP="00431C20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2</w:t>
            </w:r>
          </w:p>
        </w:tc>
        <w:tc>
          <w:tcPr>
            <w:tcW w:w="2408" w:type="dxa"/>
            <w:vAlign w:val="center"/>
          </w:tcPr>
          <w:p w:rsidR="00513792" w:rsidRPr="00D0101B" w:rsidRDefault="00513792" w:rsidP="00431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513792" w:rsidRPr="00D0101B" w:rsidRDefault="00513792" w:rsidP="00431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13792" w:rsidRPr="00D0101B" w:rsidRDefault="00513792" w:rsidP="00431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513792" w:rsidRPr="00D0101B" w:rsidRDefault="00513792" w:rsidP="00431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7" w:type="dxa"/>
            <w:vAlign w:val="center"/>
          </w:tcPr>
          <w:p w:rsidR="00513792" w:rsidRPr="00D0101B" w:rsidRDefault="00513792" w:rsidP="00431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13792" w:rsidRPr="00D0101B" w:rsidTr="00431C20">
        <w:trPr>
          <w:trHeight w:val="691"/>
        </w:trPr>
        <w:tc>
          <w:tcPr>
            <w:tcW w:w="486" w:type="dxa"/>
            <w:vAlign w:val="center"/>
          </w:tcPr>
          <w:p w:rsidR="00513792" w:rsidRPr="00D0101B" w:rsidRDefault="00513792" w:rsidP="00A961E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Pr="00D0101B">
              <w:rPr>
                <w:sz w:val="20"/>
              </w:rPr>
              <w:t>.</w:t>
            </w:r>
          </w:p>
        </w:tc>
        <w:tc>
          <w:tcPr>
            <w:tcW w:w="2484" w:type="dxa"/>
            <w:vAlign w:val="center"/>
          </w:tcPr>
          <w:p w:rsidR="00D243DE" w:rsidRDefault="00D243DE" w:rsidP="00D243D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полугодие 2024 года</w:t>
            </w:r>
          </w:p>
          <w:p w:rsidR="00513792" w:rsidRPr="008848F4" w:rsidRDefault="00513792" w:rsidP="00D243DE"/>
        </w:tc>
        <w:tc>
          <w:tcPr>
            <w:tcW w:w="2408" w:type="dxa"/>
            <w:vAlign w:val="center"/>
          </w:tcPr>
          <w:p w:rsidR="00513792" w:rsidRPr="00C05B04" w:rsidRDefault="00C5242F" w:rsidP="00543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0,50016</w:t>
            </w:r>
          </w:p>
        </w:tc>
        <w:tc>
          <w:tcPr>
            <w:tcW w:w="2268" w:type="dxa"/>
            <w:vAlign w:val="center"/>
          </w:tcPr>
          <w:p w:rsidR="00513792" w:rsidRPr="00C05B04" w:rsidRDefault="00C5242F" w:rsidP="00543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0,96603</w:t>
            </w:r>
          </w:p>
        </w:tc>
        <w:tc>
          <w:tcPr>
            <w:tcW w:w="2268" w:type="dxa"/>
            <w:vAlign w:val="center"/>
          </w:tcPr>
          <w:p w:rsidR="00513792" w:rsidRPr="00C05B04" w:rsidRDefault="00E96A66" w:rsidP="00543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0,81313</w:t>
            </w:r>
          </w:p>
        </w:tc>
        <w:tc>
          <w:tcPr>
            <w:tcW w:w="2409" w:type="dxa"/>
            <w:vAlign w:val="center"/>
          </w:tcPr>
          <w:p w:rsidR="00513792" w:rsidRPr="00C05B04" w:rsidRDefault="00C5242F" w:rsidP="00543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0,28975</w:t>
            </w:r>
          </w:p>
        </w:tc>
        <w:tc>
          <w:tcPr>
            <w:tcW w:w="2237" w:type="dxa"/>
            <w:vAlign w:val="center"/>
          </w:tcPr>
          <w:p w:rsidR="00513792" w:rsidRPr="00C05B04" w:rsidRDefault="00793B89" w:rsidP="00543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0,27104</w:t>
            </w:r>
          </w:p>
        </w:tc>
        <w:bookmarkStart w:id="0" w:name="_GoBack"/>
        <w:bookmarkEnd w:id="0"/>
      </w:tr>
      <w:tr w:rsidR="00E96A66" w:rsidRPr="00C05B04" w:rsidTr="00E96A66">
        <w:trPr>
          <w:trHeight w:val="691"/>
        </w:trPr>
        <w:tc>
          <w:tcPr>
            <w:tcW w:w="486" w:type="dxa"/>
          </w:tcPr>
          <w:p w:rsidR="00E96A66" w:rsidRPr="00D0101B" w:rsidRDefault="00D243DE" w:rsidP="00431C2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2484" w:type="dxa"/>
          </w:tcPr>
          <w:p w:rsidR="00E96A66" w:rsidRPr="008848F4" w:rsidRDefault="00D243DE" w:rsidP="00D243DE"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 xml:space="preserve"> полугодие 2024 года</w:t>
            </w:r>
          </w:p>
        </w:tc>
        <w:tc>
          <w:tcPr>
            <w:tcW w:w="2408" w:type="dxa"/>
          </w:tcPr>
          <w:p w:rsidR="00E96A66" w:rsidRPr="00E96A66" w:rsidRDefault="00E96A66" w:rsidP="00E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61678</w:t>
            </w:r>
          </w:p>
        </w:tc>
        <w:tc>
          <w:tcPr>
            <w:tcW w:w="2268" w:type="dxa"/>
          </w:tcPr>
          <w:p w:rsidR="00E96A66" w:rsidRPr="00C05B04" w:rsidRDefault="00E96A66" w:rsidP="0043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1,95822</w:t>
            </w:r>
          </w:p>
        </w:tc>
        <w:tc>
          <w:tcPr>
            <w:tcW w:w="2268" w:type="dxa"/>
          </w:tcPr>
          <w:p w:rsidR="00E96A66" w:rsidRPr="00C05B04" w:rsidRDefault="00E96A66" w:rsidP="0043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1,09404</w:t>
            </w:r>
          </w:p>
        </w:tc>
        <w:tc>
          <w:tcPr>
            <w:tcW w:w="2409" w:type="dxa"/>
          </w:tcPr>
          <w:p w:rsidR="00E96A66" w:rsidRPr="00C05B04" w:rsidRDefault="00E96A66" w:rsidP="0043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0,36468</w:t>
            </w:r>
          </w:p>
        </w:tc>
        <w:tc>
          <w:tcPr>
            <w:tcW w:w="2237" w:type="dxa"/>
          </w:tcPr>
          <w:p w:rsidR="00E96A66" w:rsidRPr="00C05B04" w:rsidRDefault="00E96A66" w:rsidP="0043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0,36468</w:t>
            </w:r>
          </w:p>
        </w:tc>
      </w:tr>
    </w:tbl>
    <w:p w:rsidR="00A961E4" w:rsidRPr="005C3F58" w:rsidRDefault="00A961E4" w:rsidP="00A961E4">
      <w:pPr>
        <w:jc w:val="both"/>
        <w:rPr>
          <w:b/>
          <w:szCs w:val="28"/>
        </w:rPr>
      </w:pPr>
    </w:p>
    <w:p w:rsidR="00D243DE" w:rsidRPr="00D243DE" w:rsidRDefault="00D243DE" w:rsidP="00D243DE">
      <w:pPr>
        <w:pStyle w:val="ac"/>
        <w:widowControl w:val="0"/>
        <w:autoSpaceDE w:val="0"/>
        <w:autoSpaceDN w:val="0"/>
        <w:adjustRightInd w:val="0"/>
        <w:ind w:left="2138"/>
        <w:jc w:val="both"/>
      </w:pPr>
    </w:p>
    <w:p w:rsidR="00D243DE" w:rsidRPr="00D243DE" w:rsidRDefault="00D243DE" w:rsidP="00D243DE">
      <w:pPr>
        <w:pStyle w:val="ac"/>
        <w:widowControl w:val="0"/>
        <w:autoSpaceDE w:val="0"/>
        <w:autoSpaceDN w:val="0"/>
        <w:adjustRightInd w:val="0"/>
        <w:ind w:left="2138"/>
        <w:jc w:val="both"/>
      </w:pPr>
    </w:p>
    <w:p w:rsidR="002F4EB0" w:rsidRDefault="00D243DE" w:rsidP="002F4EB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>
        <w:rPr>
          <w:b/>
        </w:rPr>
        <w:t>Ц</w:t>
      </w:r>
      <w:r w:rsidRPr="00D243DE">
        <w:rPr>
          <w:b/>
        </w:rPr>
        <w:t xml:space="preserve">ены (тарифы) на электрическую энергию для населения и приравненных к нему категорий потребителей </w:t>
      </w:r>
      <w:r>
        <w:rPr>
          <w:b/>
        </w:rPr>
        <w:t xml:space="preserve">на 2024 год </w:t>
      </w:r>
      <w:r>
        <w:t xml:space="preserve">утверждены решением </w:t>
      </w:r>
      <w:r w:rsidR="00AC0B4F">
        <w:t>Управления Алтайского края по государственному регулированию цен и тарифов от 30.11.2023 №28</w:t>
      </w:r>
      <w:r>
        <w:t>0</w:t>
      </w:r>
      <w:r w:rsidR="00DA59EA">
        <w:t xml:space="preserve"> (опубликованы на официальном сайте правовых актов </w:t>
      </w:r>
      <w:hyperlink r:id="rId10" w:history="1">
        <w:r w:rsidR="00DA59EA" w:rsidRPr="005809B8">
          <w:rPr>
            <w:rStyle w:val="a3"/>
          </w:rPr>
          <w:t>http://publication.pravo.gov.ru/</w:t>
        </w:r>
      </w:hyperlink>
      <w:r w:rsidR="00DA59EA">
        <w:t xml:space="preserve"> , а также на официальном сайте АО «Барнаульская </w:t>
      </w:r>
      <w:proofErr w:type="spellStart"/>
      <w:r w:rsidR="00DA59EA">
        <w:t>горэлектросеть</w:t>
      </w:r>
      <w:proofErr w:type="spellEnd"/>
      <w:r w:rsidR="00DA59EA">
        <w:t>»</w:t>
      </w:r>
      <w:r>
        <w:t xml:space="preserve"> </w:t>
      </w:r>
    </w:p>
    <w:p w:rsidR="002F4EB0" w:rsidRPr="002F4EB0" w:rsidRDefault="00793B89" w:rsidP="002F4EB0">
      <w:pPr>
        <w:pStyle w:val="ac"/>
        <w:ind w:left="1429"/>
        <w:rPr>
          <w:rFonts w:eastAsiaTheme="minorHAnsi"/>
          <w:lang w:eastAsia="en-US"/>
        </w:rPr>
      </w:pPr>
      <w:hyperlink r:id="rId11" w:history="1">
        <w:r w:rsidR="002F4EB0">
          <w:rPr>
            <w:rStyle w:val="a3"/>
          </w:rPr>
          <w:t>https://bges.ru/uploads/pages/disclosure-information/24/Reschenije_280_ot_30_11_2023_naselenije_05_12_2023.pdf</w:t>
        </w:r>
      </w:hyperlink>
      <w:r w:rsidR="00DA59EA">
        <w:rPr>
          <w:rStyle w:val="a3"/>
        </w:rPr>
        <w:t xml:space="preserve"> ).</w:t>
      </w:r>
    </w:p>
    <w:p w:rsidR="002F4EB0" w:rsidRDefault="002F4EB0" w:rsidP="002F4EB0">
      <w:pPr>
        <w:widowControl w:val="0"/>
        <w:autoSpaceDE w:val="0"/>
        <w:autoSpaceDN w:val="0"/>
        <w:adjustRightInd w:val="0"/>
        <w:ind w:left="1429"/>
        <w:jc w:val="both"/>
      </w:pPr>
    </w:p>
    <w:p w:rsidR="00A961E4" w:rsidRDefault="00A961E4" w:rsidP="00A961E4">
      <w:pPr>
        <w:ind w:firstLine="709"/>
        <w:jc w:val="both"/>
      </w:pPr>
    </w:p>
    <w:p w:rsidR="0044379C" w:rsidRDefault="0044379C"/>
    <w:sectPr w:rsidR="0044379C" w:rsidSect="00AC0B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57D87"/>
    <w:multiLevelType w:val="hybridMultilevel"/>
    <w:tmpl w:val="A74C8602"/>
    <w:lvl w:ilvl="0" w:tplc="8B7A2BFC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3710E4"/>
    <w:multiLevelType w:val="hybridMultilevel"/>
    <w:tmpl w:val="A74C8602"/>
    <w:lvl w:ilvl="0" w:tplc="8B7A2BFC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E4"/>
    <w:rsid w:val="00016148"/>
    <w:rsid w:val="0003079D"/>
    <w:rsid w:val="00064889"/>
    <w:rsid w:val="000A41F7"/>
    <w:rsid w:val="00126E59"/>
    <w:rsid w:val="00140B19"/>
    <w:rsid w:val="002C38A9"/>
    <w:rsid w:val="002C45FE"/>
    <w:rsid w:val="002F4EB0"/>
    <w:rsid w:val="00310810"/>
    <w:rsid w:val="00382796"/>
    <w:rsid w:val="004274F8"/>
    <w:rsid w:val="00431C20"/>
    <w:rsid w:val="0044379C"/>
    <w:rsid w:val="004A5D75"/>
    <w:rsid w:val="00513792"/>
    <w:rsid w:val="005437EC"/>
    <w:rsid w:val="005F3CC8"/>
    <w:rsid w:val="00652E76"/>
    <w:rsid w:val="006637FE"/>
    <w:rsid w:val="006D3C81"/>
    <w:rsid w:val="00710988"/>
    <w:rsid w:val="00754835"/>
    <w:rsid w:val="00755C18"/>
    <w:rsid w:val="00786B29"/>
    <w:rsid w:val="00793B89"/>
    <w:rsid w:val="00871395"/>
    <w:rsid w:val="009F430C"/>
    <w:rsid w:val="00A2609E"/>
    <w:rsid w:val="00A961E4"/>
    <w:rsid w:val="00AC0B4F"/>
    <w:rsid w:val="00AD0845"/>
    <w:rsid w:val="00AE07FA"/>
    <w:rsid w:val="00AE1E11"/>
    <w:rsid w:val="00B94712"/>
    <w:rsid w:val="00C05B04"/>
    <w:rsid w:val="00C5242F"/>
    <w:rsid w:val="00C537D1"/>
    <w:rsid w:val="00C538AE"/>
    <w:rsid w:val="00D243DE"/>
    <w:rsid w:val="00D37059"/>
    <w:rsid w:val="00D868C5"/>
    <w:rsid w:val="00D9590A"/>
    <w:rsid w:val="00DA59EA"/>
    <w:rsid w:val="00E05732"/>
    <w:rsid w:val="00E31DAA"/>
    <w:rsid w:val="00E6400A"/>
    <w:rsid w:val="00E96A66"/>
    <w:rsid w:val="00F467DF"/>
    <w:rsid w:val="00F67F23"/>
    <w:rsid w:val="00F853C6"/>
    <w:rsid w:val="00F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3E60-E089-498F-9E20-4A8339C4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61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61E4"/>
    <w:rPr>
      <w:color w:val="0000FF"/>
      <w:u w:val="single"/>
    </w:rPr>
  </w:style>
  <w:style w:type="paragraph" w:styleId="a4">
    <w:name w:val="Body Text"/>
    <w:basedOn w:val="a"/>
    <w:link w:val="a5"/>
    <w:rsid w:val="00A961E4"/>
    <w:rPr>
      <w:sz w:val="28"/>
    </w:rPr>
  </w:style>
  <w:style w:type="character" w:customStyle="1" w:styleId="a5">
    <w:name w:val="Основной текст Знак"/>
    <w:basedOn w:val="a0"/>
    <w:link w:val="a4"/>
    <w:rsid w:val="00A961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961E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961E4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961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961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AE07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7F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D243D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F4EB0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2F4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es.ru" TargetMode="External"/><Relationship Id="rId11" Type="http://schemas.openxmlformats.org/officeDocument/2006/relationships/hyperlink" Target="https://bges.ru/uploads/pages/disclosure-information/24/Reschenije_280_ot_30_11_2023_naselenije_05_12_2023.pdf" TargetMode="External"/><Relationship Id="rId5" Type="http://schemas.openxmlformats.org/officeDocument/2006/relationships/hyperlink" Target="http://www.atsenergo.ru" TargetMode="External"/><Relationship Id="rId10" Type="http://schemas.openxmlformats.org/officeDocument/2006/relationships/hyperlink" Target="http://publication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Ирина В. Балабрикова</cp:lastModifiedBy>
  <cp:revision>2</cp:revision>
  <cp:lastPrinted>2020-12-30T02:32:00Z</cp:lastPrinted>
  <dcterms:created xsi:type="dcterms:W3CDTF">2023-12-05T03:40:00Z</dcterms:created>
  <dcterms:modified xsi:type="dcterms:W3CDTF">2023-12-05T03:40:00Z</dcterms:modified>
</cp:coreProperties>
</file>